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EA98" w14:textId="72D6290C" w:rsidR="00DA4A5A" w:rsidRDefault="00E31859">
      <w:pPr>
        <w:ind w:left="-990" w:right="-1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8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E617B7" wp14:editId="1CF1AF8B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1266825" cy="22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4335" w14:textId="66D7A8B8" w:rsidR="00E31859" w:rsidRPr="00E31859" w:rsidRDefault="00E31859">
                            <w:pPr>
                              <w:rPr>
                                <w:rFonts w:ascii="Aharoni" w:hAnsi="Aharoni" w:cs="Aharoni"/>
                                <w:color w:val="FFFFFF" w:themeColor="background1"/>
                              </w:rPr>
                            </w:pPr>
                            <w:r w:rsidRPr="00E31859">
                              <w:rPr>
                                <w:rFonts w:ascii="Aharoni" w:hAnsi="Aharoni" w:cs="Aharoni" w:hint="cs"/>
                                <w:color w:val="FFFFFF" w:themeColor="background1"/>
                              </w:rPr>
                              <w:t>Courtney Cason</w:t>
                            </w:r>
                          </w:p>
                          <w:p w14:paraId="7A708E74" w14:textId="77777777" w:rsidR="00E31859" w:rsidRDefault="00E318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1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5pt;width:99.75pt;height:1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DHIwIAAEYEAAAOAAAAZHJzL2Uyb0RvYy54bWysU8Fu2zAMvQ/YPwi6L3aMJE2NOEWXrsOA&#10;rhvQ7QNkWY6FSaImKbGzrx8lp2623oZdBFKUHh8fyc3NoBU5CuclmIrOZzklwnBopNlX9Pu3+3dr&#10;SnxgpmEKjKjoSXh6s337ZtPbUhTQgWqEIwhifNnbinYh2DLLPO+EZn4GVhgMtuA0C+i6fdY41iO6&#10;VlmR56usB9dYB1x4j7d3Y5BuE37bCh6+tK0XgaiKIreQTpfOOp7ZdsPKvWO2k/xMg/0DC82kwaQT&#10;1B0LjBycfAWlJXfgoQ0zDjqDtpVcpBqwmnn+VzVPHbMi1YLieDvJ5P8fLH88PtmvjoThPQzYwFSE&#10;tw/Af3hiYNcxsxe3zkHfCdZg4nmULOutL89fo9S+9BGk7j9Dg01mhwAJaGidjqpgnQTRsQGnSXQx&#10;BMJjymK1WhdLSjjGimK9ylNXMlY+/7bOh48CNIlGRR02NaGz44MPkQ0rn5/EZB6UbO6lUsmJgyR2&#10;ypEjwxFgnAsTxirVQSPd8f5qmU9p0+zFLwn5DzRlSF/R6yXSfZ3J7espD6JdAF4S0jLgwCupK7qe&#10;HrEyqvvBNGkcA5NqtLEyZc5yR4VHrcNQD/gwyl5Dc0LhHYyDjYuIRgfuFyU9DnVF/c8Dc4IS9clg&#10;867ni0XcguQsllcFOu4yUl9GmOEIVdFAyWjuQtqcWLqBW2xyK5P+L0zOXHFYk3jnxYrbcOmnVy/r&#10;v/0NAAD//wMAUEsDBBQABgAIAAAAIQCbaWJp2wAAAAYBAAAPAAAAZHJzL2Rvd25yZXYueG1sTI9B&#10;T8JAEIXvJv6HzZh4k60ahNZuCTHiRS+Ach66Q1vpzjbdpdR/73DS08vkTd77Xr4YXasG6kPj2cD9&#10;JAFFXHrbcGXgc7u6m4MKEdli65kM/FCARXF9lWNm/ZnXNGxipSSEQ4YG6hi7TOtQ1uQwTHxHLN7B&#10;9w6jnH2lbY9nCXetfkiSJ+2wYWmosaOXmsrj5uSk18+3y286zgbkr/dX+ng77FY7Y25vxuUzqEhj&#10;/HuGC76gQyFMe39iG1RrQIZEA4+p6MVN0ymovYHZNAFd5Po/fvELAAD//wMAUEsBAi0AFAAGAAgA&#10;AAAhALaDOJL+AAAA4QEAABMAAAAAAAAAAAAAAAAAAAAAAFtDb250ZW50X1R5cGVzXS54bWxQSwEC&#10;LQAUAAYACAAAACEAOP0h/9YAAACUAQAACwAAAAAAAAAAAAAAAAAvAQAAX3JlbHMvLnJlbHNQSwEC&#10;LQAUAAYACAAAACEAZn9gxyMCAABGBAAADgAAAAAAAAAAAAAAAAAuAgAAZHJzL2Uyb0RvYy54bWxQ&#10;SwECLQAUAAYACAAAACEAm2liadsAAAAGAQAADwAAAAAAAAAAAAAAAAB9BAAAZHJzL2Rvd25yZXYu&#10;eG1sUEsFBgAAAAAEAAQA8wAAAIUFAAAAAA==&#10;" fillcolor="#365f91 [2404]">
                <v:textbox>
                  <w:txbxContent>
                    <w:p w14:paraId="548D4335" w14:textId="66D7A8B8" w:rsidR="00E31859" w:rsidRPr="00E31859" w:rsidRDefault="00E31859">
                      <w:pPr>
                        <w:rPr>
                          <w:rFonts w:ascii="Aharoni" w:hAnsi="Aharoni" w:cs="Aharoni"/>
                          <w:color w:val="FFFFFF" w:themeColor="background1"/>
                        </w:rPr>
                      </w:pPr>
                      <w:r w:rsidRPr="00E31859">
                        <w:rPr>
                          <w:rFonts w:ascii="Aharoni" w:hAnsi="Aharoni" w:cs="Aharoni" w:hint="cs"/>
                          <w:color w:val="FFFFFF" w:themeColor="background1"/>
                        </w:rPr>
                        <w:t>Courtney Cason</w:t>
                      </w:r>
                    </w:p>
                    <w:p w14:paraId="7A708E74" w14:textId="77777777" w:rsidR="00E31859" w:rsidRDefault="00E31859"/>
                  </w:txbxContent>
                </v:textbox>
                <w10:wrap type="square" anchorx="margin"/>
              </v:shape>
            </w:pict>
          </mc:Fallback>
        </mc:AlternateContent>
      </w:r>
      <w:r w:rsidR="009936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0A3C459" wp14:editId="30EF993B">
            <wp:extent cx="6353175" cy="8849360"/>
            <wp:effectExtent l="0" t="0" r="9525" b="889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7"/>
                    <a:srcRect t="2518" r="1039"/>
                    <a:stretch/>
                  </pic:blipFill>
                  <pic:spPr bwMode="auto">
                    <a:xfrm>
                      <a:off x="0" y="0"/>
                      <a:ext cx="6353199" cy="884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361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3B309B75" wp14:editId="52C8B790">
            <wp:extent cx="6477000" cy="915910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59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846D1C" w14:textId="77777777" w:rsidR="00DA4A5A" w:rsidRDefault="00993614">
      <w:pPr>
        <w:ind w:left="-990" w:right="-1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References </w:t>
      </w:r>
    </w:p>
    <w:p w14:paraId="055AA53D" w14:textId="77777777" w:rsidR="00DA4A5A" w:rsidRDefault="00993614">
      <w:pPr>
        <w:numPr>
          <w:ilvl w:val="0"/>
          <w:numId w:val="1"/>
        </w:numPr>
        <w:spacing w:before="240"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Bipartisan Background Checks Act, H.R. 8, 116th Cong. (2019)</w:t>
      </w:r>
    </w:p>
    <w:p w14:paraId="0181D561" w14:textId="77777777" w:rsidR="00DA4A5A" w:rsidRDefault="00993614">
      <w:pPr>
        <w:numPr>
          <w:ilvl w:val="0"/>
          <w:numId w:val="1"/>
        </w:num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Chipman, D. (2020, February 21).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Background Checks Myths, Debunked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Giffords Law Center.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https://giffords.org/blog/2020/02/background-checks-myths-debunked/</w:t>
        </w:r>
      </w:hyperlink>
    </w:p>
    <w:p w14:paraId="6CE390E6" w14:textId="77777777" w:rsidR="00DA4A5A" w:rsidRDefault="00993614">
      <w:pPr>
        <w:numPr>
          <w:ilvl w:val="0"/>
          <w:numId w:val="1"/>
        </w:num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Center for Responsive Politics. (n.d.). Gun rights vs. gun control.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OpenSecrets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http://www.opensecrets.org/news/issues/guns </w:t>
      </w:r>
    </w:p>
    <w:p w14:paraId="713ABD44" w14:textId="77777777" w:rsidR="00DA4A5A" w:rsidRDefault="0099361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Everytown for Gun Safety. (2019, January 8). Background Checks Save Lives and Protect Our Communities [Fact sheet]. Retrieved from https://everytownresearch.org/wp-content/uploads/2019/01/2019-Background-Checks-Fact-Sheet-2-1.pdf </w:t>
      </w:r>
    </w:p>
    <w:p w14:paraId="757BCCDD" w14:textId="77777777" w:rsidR="00DA4A5A" w:rsidRDefault="0099361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Everytown for Gun Safety. (2020).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Better background checks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Everytown for Gun Safety.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https://everytown.org/issue/background-checks/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6F4188" w14:textId="77777777" w:rsidR="00DA4A5A" w:rsidRDefault="0099361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Giffords Law Center. (2020).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Gun violence statistics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Giffords Law Center.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https://lawcenter.giffords.org/facts/gun-violence-statistics/</w:t>
        </w:r>
      </w:hyperlink>
    </w:p>
    <w:p w14:paraId="2C31D300" w14:textId="77777777" w:rsidR="00DA4A5A" w:rsidRDefault="0099361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Gray, S. (2019, April 30). A timeline of gun control laws in the U.S.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https://time.com/5169210/us-gun-control-laws-history-timeline/ </w:t>
      </w:r>
    </w:p>
    <w:p w14:paraId="0E78839D" w14:textId="77777777" w:rsidR="00DA4A5A" w:rsidRDefault="0099361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Igielnik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&amp; Brown, A. (2017, June 22).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Key takeaways on Americans’ views of guns and gun ownership. </w:t>
      </w:r>
      <w:r>
        <w:rPr>
          <w:rFonts w:ascii="Times New Roman" w:eastAsia="Times New Roman" w:hAnsi="Times New Roman" w:cs="Times New Roman"/>
          <w:sz w:val="24"/>
          <w:szCs w:val="24"/>
        </w:rPr>
        <w:t>Pew Research Center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https://www.pewresearch.org/fact- tank/2017/06/22/key-takeaways-on-americans-views-of-guns-and-gun-ownership/ </w:t>
      </w:r>
    </w:p>
    <w:p w14:paraId="405DE4FE" w14:textId="77777777" w:rsidR="00DA4A5A" w:rsidRDefault="0099361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Lopez, G. (2019, February 6.) Democrats need to think way bigger on guns.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https://www.vox.com/future-perfect/2019/1/9/18171909/universal-background-checks-hr-8-gun-violence-democrats</w:t>
        </w:r>
      </w:hyperlink>
    </w:p>
    <w:p w14:paraId="6D26BEA2" w14:textId="77777777" w:rsidR="00DA4A5A" w:rsidRDefault="0099361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Miller, B. (2019, May 30).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history of gun background checks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Foundation for Economic Education.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https://fee.org/articles/the-history-of-gun-background-checks/</w:t>
        </w:r>
      </w:hyperlink>
    </w:p>
    <w:p w14:paraId="026C4F4E" w14:textId="77777777" w:rsidR="00DA4A5A" w:rsidRDefault="0099361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R., Schnell, T. L., &amp; Tankard, M. (2018). The magnitude and sources of disagreement among gun policy experts.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RAND Corporation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Retrieved March 13, 2020, from 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</w:rPr>
          <w:t>https://www.rand.org/pubs/research_reports/RR2088z1.html</w:t>
        </w:r>
      </w:hyperlink>
    </w:p>
    <w:p w14:paraId="102B1FF5" w14:textId="77777777" w:rsidR="00DA4A5A" w:rsidRDefault="0099361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Parker, K., Horowitz, J.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Igielnik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R., Oliphant, B. J., &amp; Brown, A. (2017, June 22).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America’s complex relationship with guns: Views on gun policy</w:t>
      </w:r>
      <w:r>
        <w:rPr>
          <w:rFonts w:ascii="Times New Roman" w:eastAsia="Times New Roman" w:hAnsi="Times New Roman" w:cs="Times New Roman"/>
          <w:sz w:val="24"/>
          <w:szCs w:val="24"/>
        </w:rPr>
        <w:t>. Pew Research Center. https://www.pewsocialtrends.org/2017/06/22/views-on-gun-policy/</w:t>
      </w:r>
    </w:p>
    <w:p w14:paraId="6175AB75" w14:textId="77777777" w:rsidR="00DA4A5A" w:rsidRDefault="0099361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Rostron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(2018). The Dickey Amendment on federal funding for research on gun violence: A legal dissection. American Journal of Public Health, 108(7), 865-867. https://doi.org/10.2105/AJPH.2018.304450</w:t>
      </w:r>
    </w:p>
    <w:p w14:paraId="7A3F93D9" w14:textId="77777777" w:rsidR="00DA4A5A" w:rsidRDefault="0099361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S., &amp; Webster, D. W. (2013). Firearm Acquisition Without Background Check: Results of a National Survey.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Injury Prevention</w:t>
      </w:r>
      <w:r>
        <w:rPr>
          <w:rFonts w:ascii="Times New Roman" w:eastAsia="Times New Roman" w:hAnsi="Times New Roman" w:cs="Times New Roman"/>
          <w:sz w:val="24"/>
          <w:szCs w:val="24"/>
        </w:rPr>
        <w:t>, (19), 26-31. doi:10.1136/injuryprev-2011-040290</w:t>
      </w:r>
    </w:p>
    <w:p w14:paraId="7417DEB2" w14:textId="77777777" w:rsidR="00DA4A5A" w:rsidRDefault="00993614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Wintemute, G. J. (2019). Background checks for firearm purchases: problem areas and recommendations to improve effectiveness.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Health Affairs, 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(10), 1702-1710. doi:10.1377/hlthaff.2019.00671 </w:t>
      </w:r>
    </w:p>
    <w:p w14:paraId="52C73E09" w14:textId="77777777" w:rsidR="00DA4A5A" w:rsidRDefault="00DA4A5A">
      <w:pPr>
        <w:spacing w:line="240" w:lineRule="auto"/>
        <w:ind w:right="-1170"/>
      </w:pPr>
    </w:p>
    <w:sectPr w:rsidR="00DA4A5A">
      <w:headerReference w:type="default" r:id="rId15"/>
      <w:pgSz w:w="12240" w:h="15840"/>
      <w:pgMar w:top="1440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74B5" w14:textId="77777777" w:rsidR="00430309" w:rsidRDefault="00993614">
      <w:pPr>
        <w:spacing w:line="240" w:lineRule="auto"/>
      </w:pPr>
      <w:r>
        <w:separator/>
      </w:r>
    </w:p>
  </w:endnote>
  <w:endnote w:type="continuationSeparator" w:id="0">
    <w:p w14:paraId="2D35F23E" w14:textId="77777777" w:rsidR="00430309" w:rsidRDefault="00993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E3E7" w14:textId="77777777" w:rsidR="00430309" w:rsidRDefault="00993614">
      <w:pPr>
        <w:spacing w:line="240" w:lineRule="auto"/>
      </w:pPr>
      <w:r>
        <w:separator/>
      </w:r>
    </w:p>
  </w:footnote>
  <w:footnote w:type="continuationSeparator" w:id="0">
    <w:p w14:paraId="1BEB7327" w14:textId="77777777" w:rsidR="00430309" w:rsidRDefault="00993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57FA" w14:textId="77777777" w:rsidR="00DA4A5A" w:rsidRDefault="00DA4A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2991"/>
    <w:multiLevelType w:val="multilevel"/>
    <w:tmpl w:val="A5CE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5A"/>
    <w:rsid w:val="00430309"/>
    <w:rsid w:val="00677F58"/>
    <w:rsid w:val="00993614"/>
    <w:rsid w:val="00DA4A5A"/>
    <w:rsid w:val="00E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817A"/>
  <w15:docId w15:val="{C60034F2-C9A4-44FD-AD09-9ADA3C01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ee.org/articles/the-history-of-gun-background-check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ox.com/future-perfect/2019/1/9/18171909/universal-background-checks-hr-8-gun-violence-democra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wcenter.giffords.org/facts/gun-violence-statistic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verytown.org/issue/background-chec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ffords.org/blog/2020/02/background-checks-myths-debunked/" TargetMode="External"/><Relationship Id="rId14" Type="http://schemas.openxmlformats.org/officeDocument/2006/relationships/hyperlink" Target="https://www.rand.org/pubs/research_reports/RR2088z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Cason</cp:lastModifiedBy>
  <cp:revision>3</cp:revision>
  <dcterms:created xsi:type="dcterms:W3CDTF">2022-03-03T15:39:00Z</dcterms:created>
  <dcterms:modified xsi:type="dcterms:W3CDTF">2022-03-03T15:47:00Z</dcterms:modified>
</cp:coreProperties>
</file>