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 Questions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Rathmann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TCH ED 6910</w:t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Kevin M. Martin</w:t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29th, 2022</w:t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would you describe a challenging or interfering behavior?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a student is having difficulty self regulating, what next steps would you take?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teaching students self regulating strategy, which strategy do you feel helps the most and is the most beneficial?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our building what is the difference between a “think seat” and the “calming corner?”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your experience, has the calming corner been effective for you students to self-regulate? If not, what are some other ways you have found beneficial.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should be included in the calming corner?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 you observed other behaviors other than those that are taught when students utilize the calming corner?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often do you feel the students need to utilize the calming corner?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the past, do you feel the calming corner has made a positive impact on your students to help them self-regulate?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When a student feels they need to go to the calming corner, how much time do you feel they should spend there?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Interview Questions</w:t>
      <w:tab/>
      <w:tab/>
      <w:tab/>
      <w:tab/>
      <w:t xml:space="preserve">   </w:t>
      <w:tab/>
      <w:t xml:space="preserve">   </w:t>
      <w:tab/>
      <w:tab/>
      <w:tab/>
      <w:tab/>
      <w:tab/>
      <w:t xml:space="preserve">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